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                            </w:t>
      </w:r>
      <w:r>
        <w:rPr>
          <w:rFonts w:ascii="Helvetica" w:hAnsi="Helvetica"/>
          <w:color w:val="333333"/>
          <w:sz w:val="19"/>
          <w:szCs w:val="19"/>
        </w:rPr>
        <w:t>叙永县人民法院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                    2021</w:t>
      </w:r>
      <w:r>
        <w:rPr>
          <w:rFonts w:ascii="Helvetica" w:hAnsi="Helvetica"/>
          <w:color w:val="333333"/>
          <w:sz w:val="19"/>
          <w:szCs w:val="19"/>
        </w:rPr>
        <w:t>年部门预算三公经费编制的说明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一、基本情况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</w:t>
      </w:r>
      <w:r>
        <w:rPr>
          <w:rFonts w:ascii="Helvetica" w:hAnsi="Helvetica"/>
          <w:color w:val="333333"/>
          <w:sz w:val="19"/>
          <w:szCs w:val="19"/>
        </w:rPr>
        <w:t>（一）基本职能及主要工作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 1</w:t>
      </w:r>
      <w:r>
        <w:rPr>
          <w:rFonts w:ascii="Helvetica" w:hAnsi="Helvetica"/>
          <w:color w:val="333333"/>
          <w:sz w:val="19"/>
          <w:szCs w:val="19"/>
        </w:rPr>
        <w:t>、叙永法院职能简介。叙永县人民法院系国家审判机关，基本职能是通过刑事案件审判惩罚犯罪，通过民事和行政等案件的审理</w:t>
      </w:r>
      <w:proofErr w:type="gramStart"/>
      <w:r>
        <w:rPr>
          <w:rFonts w:ascii="Helvetica" w:hAnsi="Helvetica"/>
          <w:color w:val="333333"/>
          <w:sz w:val="19"/>
          <w:szCs w:val="19"/>
        </w:rPr>
        <w:t>定纠止</w:t>
      </w:r>
      <w:proofErr w:type="gramEnd"/>
      <w:r>
        <w:rPr>
          <w:rFonts w:ascii="Helvetica" w:hAnsi="Helvetica"/>
          <w:color w:val="333333"/>
          <w:sz w:val="19"/>
          <w:szCs w:val="19"/>
        </w:rPr>
        <w:t>争，维护社会秩序，保护国家、集体和公民的财产，保护当事人的合法权益，维护社会稳定。本院主要受理：法律规定管辖的第一审案件、再审案件、执行案件（含刑事、民事、执行等）。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 2</w:t>
      </w:r>
      <w:r>
        <w:rPr>
          <w:rFonts w:ascii="Helvetica" w:hAnsi="Helvetica"/>
          <w:color w:val="333333"/>
          <w:sz w:val="19"/>
          <w:szCs w:val="19"/>
        </w:rPr>
        <w:t>、叙永法院</w:t>
      </w:r>
      <w:r>
        <w:rPr>
          <w:rFonts w:ascii="Helvetica" w:hAnsi="Helvetica"/>
          <w:color w:val="333333"/>
          <w:sz w:val="19"/>
          <w:szCs w:val="19"/>
        </w:rPr>
        <w:t>2021</w:t>
      </w:r>
      <w:r>
        <w:rPr>
          <w:rFonts w:ascii="Helvetica" w:hAnsi="Helvetica"/>
          <w:color w:val="333333"/>
          <w:sz w:val="19"/>
          <w:szCs w:val="19"/>
        </w:rPr>
        <w:t>年重点工作。坚持以习近平新时代中国特色社会主义思想为指导，紧紧围绕产业发展、项目实施和环境优化，服务大局，司法为民，以执行指挥中心实质化为抓手，完善长效机制，持续释放法治威力，及时兑现当事人合法权益，推进一站式多元解纷和诉讼服务体系建设，用好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石榴籽</w:t>
      </w:r>
      <w:r>
        <w:rPr>
          <w:rFonts w:ascii="Helvetica" w:hAnsi="Helvetica"/>
          <w:color w:val="333333"/>
          <w:sz w:val="19"/>
          <w:szCs w:val="19"/>
        </w:rPr>
        <w:t>”“</w:t>
      </w:r>
      <w:r>
        <w:rPr>
          <w:rFonts w:ascii="Helvetica" w:hAnsi="Helvetica"/>
          <w:color w:val="333333"/>
          <w:sz w:val="19"/>
          <w:szCs w:val="19"/>
        </w:rPr>
        <w:t>守护夕阳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调解力量，</w:t>
      </w:r>
      <w:proofErr w:type="gramStart"/>
      <w:r>
        <w:rPr>
          <w:rFonts w:ascii="Helvetica" w:hAnsi="Helvetica"/>
          <w:color w:val="333333"/>
          <w:sz w:val="19"/>
          <w:szCs w:val="19"/>
        </w:rPr>
        <w:t>完善诉非</w:t>
      </w:r>
      <w:proofErr w:type="gramEnd"/>
      <w:r>
        <w:rPr>
          <w:rFonts w:ascii="Helvetica" w:hAnsi="Helvetica"/>
          <w:color w:val="333333"/>
          <w:sz w:val="19"/>
          <w:szCs w:val="19"/>
        </w:rPr>
        <w:t>衔接机制，从源头治理矛盾纠纷，增强群众司法获得感。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（二）部门预算单位构成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本院是独立核算机构，根据</w:t>
      </w:r>
      <w:r>
        <w:rPr>
          <w:rFonts w:ascii="Helvetica" w:hAnsi="Helvetica"/>
          <w:color w:val="333333"/>
          <w:sz w:val="19"/>
          <w:szCs w:val="19"/>
        </w:rPr>
        <w:t>2019</w:t>
      </w:r>
      <w:r>
        <w:rPr>
          <w:rFonts w:ascii="Helvetica" w:hAnsi="Helvetica"/>
          <w:color w:val="333333"/>
          <w:sz w:val="19"/>
          <w:szCs w:val="19"/>
        </w:rPr>
        <w:t>年法院系统内设机构改革，业务庭室由上年</w:t>
      </w:r>
      <w:r>
        <w:rPr>
          <w:rFonts w:ascii="Helvetica" w:hAnsi="Helvetica"/>
          <w:color w:val="333333"/>
          <w:sz w:val="19"/>
          <w:szCs w:val="19"/>
        </w:rPr>
        <w:t>13</w:t>
      </w:r>
      <w:r>
        <w:rPr>
          <w:rFonts w:ascii="Helvetica" w:hAnsi="Helvetica"/>
          <w:color w:val="333333"/>
          <w:sz w:val="19"/>
          <w:szCs w:val="19"/>
        </w:rPr>
        <w:t>个减少为</w:t>
      </w:r>
      <w:r>
        <w:rPr>
          <w:rFonts w:ascii="Helvetica" w:hAnsi="Helvetica"/>
          <w:color w:val="333333"/>
          <w:sz w:val="19"/>
          <w:szCs w:val="19"/>
        </w:rPr>
        <w:t>9</w:t>
      </w:r>
      <w:r>
        <w:rPr>
          <w:rFonts w:ascii="Helvetica" w:hAnsi="Helvetica"/>
          <w:color w:val="333333"/>
          <w:sz w:val="19"/>
          <w:szCs w:val="19"/>
        </w:rPr>
        <w:t>个，综合部门由上年</w:t>
      </w:r>
      <w:r>
        <w:rPr>
          <w:rFonts w:ascii="Helvetica" w:hAnsi="Helvetica"/>
          <w:color w:val="333333"/>
          <w:sz w:val="19"/>
          <w:szCs w:val="19"/>
        </w:rPr>
        <w:t>9</w:t>
      </w:r>
      <w:r>
        <w:rPr>
          <w:rFonts w:ascii="Helvetica" w:hAnsi="Helvetica"/>
          <w:color w:val="333333"/>
          <w:sz w:val="19"/>
          <w:szCs w:val="19"/>
        </w:rPr>
        <w:t>个减少为</w:t>
      </w:r>
      <w:r>
        <w:rPr>
          <w:rFonts w:ascii="Helvetica" w:hAnsi="Helvetica"/>
          <w:color w:val="333333"/>
          <w:sz w:val="19"/>
          <w:szCs w:val="19"/>
        </w:rPr>
        <w:t>2</w:t>
      </w:r>
      <w:r>
        <w:rPr>
          <w:rFonts w:ascii="Helvetica" w:hAnsi="Helvetica"/>
          <w:color w:val="333333"/>
          <w:sz w:val="19"/>
          <w:szCs w:val="19"/>
        </w:rPr>
        <w:t>个，辖</w:t>
      </w:r>
      <w:r>
        <w:rPr>
          <w:rFonts w:ascii="Helvetica" w:hAnsi="Helvetica"/>
          <w:color w:val="333333"/>
          <w:sz w:val="19"/>
          <w:szCs w:val="19"/>
        </w:rPr>
        <w:t>8</w:t>
      </w:r>
      <w:r>
        <w:rPr>
          <w:rFonts w:ascii="Helvetica" w:hAnsi="Helvetica"/>
          <w:color w:val="333333"/>
          <w:sz w:val="19"/>
          <w:szCs w:val="19"/>
        </w:rPr>
        <w:t>个人民法庭不变。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    </w:t>
      </w:r>
      <w:r>
        <w:rPr>
          <w:rFonts w:ascii="Helvetica" w:hAnsi="Helvetica"/>
          <w:color w:val="333333"/>
          <w:sz w:val="19"/>
          <w:szCs w:val="19"/>
        </w:rPr>
        <w:t>二、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三公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经费财政拨款预算安排情况说明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叙永法院</w:t>
      </w:r>
      <w:r>
        <w:rPr>
          <w:rFonts w:ascii="Helvetica" w:hAnsi="Helvetica"/>
          <w:color w:val="333333"/>
          <w:sz w:val="19"/>
          <w:szCs w:val="19"/>
        </w:rPr>
        <w:t>2021</w:t>
      </w:r>
      <w:r>
        <w:rPr>
          <w:rFonts w:ascii="Helvetica" w:hAnsi="Helvetica"/>
          <w:color w:val="333333"/>
          <w:sz w:val="19"/>
          <w:szCs w:val="19"/>
        </w:rPr>
        <w:t>年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三公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经费财政拨款预算数</w:t>
      </w:r>
      <w:r>
        <w:rPr>
          <w:rFonts w:ascii="Helvetica" w:hAnsi="Helvetica"/>
          <w:color w:val="333333"/>
          <w:sz w:val="19"/>
          <w:szCs w:val="19"/>
        </w:rPr>
        <w:t>110</w:t>
      </w:r>
      <w:r>
        <w:rPr>
          <w:rFonts w:ascii="Helvetica" w:hAnsi="Helvetica"/>
          <w:color w:val="333333"/>
          <w:sz w:val="19"/>
          <w:szCs w:val="19"/>
        </w:rPr>
        <w:t>万元，其中：公务接待费</w:t>
      </w:r>
      <w:r>
        <w:rPr>
          <w:rFonts w:ascii="Helvetica" w:hAnsi="Helvetica"/>
          <w:color w:val="333333"/>
          <w:sz w:val="19"/>
          <w:szCs w:val="19"/>
        </w:rPr>
        <w:t>16</w:t>
      </w:r>
      <w:r>
        <w:rPr>
          <w:rFonts w:ascii="Helvetica" w:hAnsi="Helvetica"/>
          <w:color w:val="333333"/>
          <w:sz w:val="19"/>
          <w:szCs w:val="19"/>
        </w:rPr>
        <w:t>万元，公务用车运行维护费</w:t>
      </w:r>
      <w:r>
        <w:rPr>
          <w:rFonts w:ascii="Helvetica" w:hAnsi="Helvetica"/>
          <w:color w:val="333333"/>
          <w:sz w:val="19"/>
          <w:szCs w:val="19"/>
        </w:rPr>
        <w:t>95</w:t>
      </w:r>
      <w:r>
        <w:rPr>
          <w:rFonts w:ascii="Helvetica" w:hAnsi="Helvetica"/>
          <w:color w:val="333333"/>
          <w:sz w:val="19"/>
          <w:szCs w:val="19"/>
        </w:rPr>
        <w:t>万元。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叙永法院</w:t>
      </w:r>
      <w:r>
        <w:rPr>
          <w:rFonts w:ascii="Helvetica" w:hAnsi="Helvetica"/>
          <w:color w:val="333333"/>
          <w:sz w:val="19"/>
          <w:szCs w:val="19"/>
        </w:rPr>
        <w:t>2021</w:t>
      </w:r>
      <w:r>
        <w:rPr>
          <w:rFonts w:ascii="Helvetica" w:hAnsi="Helvetica"/>
          <w:color w:val="333333"/>
          <w:sz w:val="19"/>
          <w:szCs w:val="19"/>
        </w:rPr>
        <w:t>年没有政府性基金安排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三公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经费预算。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（一）公务</w:t>
      </w:r>
      <w:proofErr w:type="gramStart"/>
      <w:r>
        <w:rPr>
          <w:rFonts w:ascii="Helvetica" w:hAnsi="Helvetica"/>
          <w:color w:val="333333"/>
          <w:sz w:val="19"/>
          <w:szCs w:val="19"/>
        </w:rPr>
        <w:t>接待费较</w:t>
      </w:r>
      <w:r>
        <w:rPr>
          <w:rFonts w:ascii="Helvetica" w:hAnsi="Helvetica"/>
          <w:color w:val="333333"/>
          <w:sz w:val="19"/>
          <w:szCs w:val="19"/>
        </w:rPr>
        <w:t>2020</w:t>
      </w:r>
      <w:r>
        <w:rPr>
          <w:rFonts w:ascii="Helvetica" w:hAnsi="Helvetica"/>
          <w:color w:val="333333"/>
          <w:sz w:val="19"/>
          <w:szCs w:val="19"/>
        </w:rPr>
        <w:t>年</w:t>
      </w:r>
      <w:proofErr w:type="gramEnd"/>
      <w:r>
        <w:rPr>
          <w:rFonts w:ascii="Helvetica" w:hAnsi="Helvetica"/>
          <w:color w:val="333333"/>
          <w:sz w:val="19"/>
          <w:szCs w:val="19"/>
        </w:rPr>
        <w:t>预算下降</w:t>
      </w:r>
      <w:r>
        <w:rPr>
          <w:rFonts w:ascii="Helvetica" w:hAnsi="Helvetica"/>
          <w:color w:val="333333"/>
          <w:sz w:val="19"/>
          <w:szCs w:val="19"/>
        </w:rPr>
        <w:t>11%</w:t>
      </w:r>
      <w:r>
        <w:rPr>
          <w:rFonts w:ascii="Helvetica" w:hAnsi="Helvetica"/>
          <w:color w:val="333333"/>
          <w:sz w:val="19"/>
          <w:szCs w:val="19"/>
        </w:rPr>
        <w:t>。主要原因是严格执行中央八项规定，厉行节约，尽量减少接待费支出。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 2021</w:t>
      </w:r>
      <w:r>
        <w:rPr>
          <w:rFonts w:ascii="Helvetica" w:hAnsi="Helvetica"/>
          <w:color w:val="333333"/>
          <w:sz w:val="19"/>
          <w:szCs w:val="19"/>
        </w:rPr>
        <w:t>年公务接待</w:t>
      </w:r>
      <w:proofErr w:type="gramStart"/>
      <w:r>
        <w:rPr>
          <w:rFonts w:ascii="Helvetica" w:hAnsi="Helvetica"/>
          <w:color w:val="333333"/>
          <w:sz w:val="19"/>
          <w:szCs w:val="19"/>
        </w:rPr>
        <w:t>费计划</w:t>
      </w:r>
      <w:proofErr w:type="gramEnd"/>
      <w:r>
        <w:rPr>
          <w:rFonts w:ascii="Helvetica" w:hAnsi="Helvetica"/>
          <w:color w:val="333333"/>
          <w:sz w:val="19"/>
          <w:szCs w:val="19"/>
        </w:rPr>
        <w:t>主要用于各级党委、人大、政协、政法委等调研、检查、督促审判工作，上级法院、比邻法院间业务交流等公务接待支出。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（二）</w:t>
      </w:r>
      <w:r>
        <w:rPr>
          <w:rFonts w:ascii="Helvetica" w:hAnsi="Helvetica"/>
          <w:color w:val="333333"/>
          <w:sz w:val="19"/>
          <w:szCs w:val="19"/>
        </w:rPr>
        <w:t xml:space="preserve"> </w:t>
      </w:r>
      <w:r>
        <w:rPr>
          <w:rFonts w:ascii="Helvetica" w:hAnsi="Helvetica"/>
          <w:color w:val="333333"/>
          <w:sz w:val="19"/>
          <w:szCs w:val="19"/>
        </w:rPr>
        <w:t>公务用车运行维护费与</w:t>
      </w:r>
      <w:r>
        <w:rPr>
          <w:rFonts w:ascii="Helvetica" w:hAnsi="Helvetica"/>
          <w:color w:val="333333"/>
          <w:sz w:val="19"/>
          <w:szCs w:val="19"/>
        </w:rPr>
        <w:t>2020</w:t>
      </w:r>
      <w:r>
        <w:rPr>
          <w:rFonts w:ascii="Helvetica" w:hAnsi="Helvetica"/>
          <w:color w:val="333333"/>
          <w:sz w:val="19"/>
          <w:szCs w:val="19"/>
        </w:rPr>
        <w:t>年预算持平。公务用车运行维护费</w:t>
      </w:r>
      <w:r>
        <w:rPr>
          <w:rFonts w:ascii="Helvetica" w:hAnsi="Helvetica"/>
          <w:color w:val="333333"/>
          <w:sz w:val="19"/>
          <w:szCs w:val="19"/>
        </w:rPr>
        <w:t>95</w:t>
      </w:r>
      <w:r>
        <w:rPr>
          <w:rFonts w:ascii="Helvetica" w:hAnsi="Helvetica"/>
          <w:color w:val="333333"/>
          <w:sz w:val="19"/>
          <w:szCs w:val="19"/>
        </w:rPr>
        <w:t>万元。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单位现有公务用车</w:t>
      </w:r>
      <w:r>
        <w:rPr>
          <w:rFonts w:ascii="Helvetica" w:hAnsi="Helvetica"/>
          <w:color w:val="333333"/>
          <w:sz w:val="19"/>
          <w:szCs w:val="19"/>
        </w:rPr>
        <w:t>20</w:t>
      </w:r>
      <w:r>
        <w:rPr>
          <w:rFonts w:ascii="Helvetica" w:hAnsi="Helvetica"/>
          <w:color w:val="333333"/>
          <w:sz w:val="19"/>
          <w:szCs w:val="19"/>
        </w:rPr>
        <w:t>辆，其中：轿车</w:t>
      </w:r>
      <w:r>
        <w:rPr>
          <w:rFonts w:ascii="Helvetica" w:hAnsi="Helvetica"/>
          <w:color w:val="333333"/>
          <w:sz w:val="19"/>
          <w:szCs w:val="19"/>
        </w:rPr>
        <w:t>9</w:t>
      </w:r>
      <w:r>
        <w:rPr>
          <w:rFonts w:ascii="Helvetica" w:hAnsi="Helvetica"/>
          <w:color w:val="333333"/>
          <w:sz w:val="19"/>
          <w:szCs w:val="19"/>
        </w:rPr>
        <w:t>辆，越野车</w:t>
      </w:r>
      <w:r>
        <w:rPr>
          <w:rFonts w:ascii="Helvetica" w:hAnsi="Helvetica"/>
          <w:color w:val="333333"/>
          <w:sz w:val="19"/>
          <w:szCs w:val="19"/>
        </w:rPr>
        <w:t>8</w:t>
      </w:r>
      <w:r>
        <w:rPr>
          <w:rFonts w:ascii="Helvetica" w:hAnsi="Helvetica"/>
          <w:color w:val="333333"/>
          <w:sz w:val="19"/>
          <w:szCs w:val="19"/>
        </w:rPr>
        <w:t>辆，中型客车</w:t>
      </w:r>
      <w:r>
        <w:rPr>
          <w:rFonts w:ascii="Helvetica" w:hAnsi="Helvetica"/>
          <w:color w:val="333333"/>
          <w:sz w:val="19"/>
          <w:szCs w:val="19"/>
        </w:rPr>
        <w:t>3</w:t>
      </w:r>
      <w:r>
        <w:rPr>
          <w:rFonts w:ascii="Helvetica" w:hAnsi="Helvetica"/>
          <w:color w:val="333333"/>
          <w:sz w:val="19"/>
          <w:szCs w:val="19"/>
        </w:rPr>
        <w:t>台。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   2021</w:t>
      </w:r>
      <w:r>
        <w:rPr>
          <w:rFonts w:ascii="Helvetica" w:hAnsi="Helvetica"/>
          <w:color w:val="333333"/>
          <w:sz w:val="19"/>
          <w:szCs w:val="19"/>
        </w:rPr>
        <w:t>年安排公务用车运行维护费</w:t>
      </w:r>
      <w:r>
        <w:rPr>
          <w:rFonts w:ascii="Helvetica" w:hAnsi="Helvetica"/>
          <w:color w:val="333333"/>
          <w:sz w:val="19"/>
          <w:szCs w:val="19"/>
        </w:rPr>
        <w:t>95</w:t>
      </w:r>
      <w:r>
        <w:rPr>
          <w:rFonts w:ascii="Helvetica" w:hAnsi="Helvetica"/>
          <w:color w:val="333333"/>
          <w:sz w:val="19"/>
          <w:szCs w:val="19"/>
        </w:rPr>
        <w:t>万元，用于</w:t>
      </w:r>
      <w:r>
        <w:rPr>
          <w:rFonts w:ascii="Helvetica" w:hAnsi="Helvetica"/>
          <w:color w:val="333333"/>
          <w:sz w:val="19"/>
          <w:szCs w:val="19"/>
        </w:rPr>
        <w:t>20</w:t>
      </w:r>
      <w:r>
        <w:rPr>
          <w:rFonts w:ascii="Helvetica" w:hAnsi="Helvetica"/>
          <w:color w:val="333333"/>
          <w:sz w:val="19"/>
          <w:szCs w:val="19"/>
        </w:rPr>
        <w:t>辆执法执勤用车燃油、维修、保险等方面支出，主要保障民商、刑事、执行等审判工作需要。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    </w:t>
      </w:r>
      <w:r>
        <w:rPr>
          <w:rFonts w:ascii="Helvetica" w:hAnsi="Helvetica"/>
          <w:color w:val="333333"/>
          <w:sz w:val="19"/>
          <w:szCs w:val="19"/>
        </w:rPr>
        <w:t>（四）、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因公出国费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预算</w:t>
      </w:r>
      <w:r>
        <w:rPr>
          <w:rFonts w:ascii="Helvetica" w:hAnsi="Helvetica"/>
          <w:color w:val="333333"/>
          <w:sz w:val="19"/>
          <w:szCs w:val="19"/>
        </w:rPr>
        <w:t>0</w:t>
      </w:r>
      <w:r>
        <w:rPr>
          <w:rFonts w:ascii="Helvetica" w:hAnsi="Helvetica"/>
          <w:color w:val="333333"/>
          <w:sz w:val="19"/>
          <w:szCs w:val="19"/>
        </w:rPr>
        <w:t>元，与上年持平。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表</w:t>
      </w:r>
      <w:r>
        <w:rPr>
          <w:rFonts w:ascii="Helvetica" w:hAnsi="Helvetica"/>
          <w:color w:val="333333"/>
          <w:sz w:val="19"/>
          <w:szCs w:val="19"/>
        </w:rPr>
        <w:t>1.</w:t>
      </w:r>
      <w:r>
        <w:rPr>
          <w:rFonts w:ascii="Helvetica" w:hAnsi="Helvetica"/>
          <w:color w:val="333333"/>
          <w:sz w:val="19"/>
          <w:szCs w:val="19"/>
        </w:rPr>
        <w:t>一般公共预算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三公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经费支出预算表</w:t>
      </w:r>
    </w:p>
    <w:p w:rsidR="008E0056" w:rsidRDefault="008E0056" w:rsidP="008E00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表</w:t>
      </w:r>
      <w:r>
        <w:rPr>
          <w:rFonts w:ascii="Helvetica" w:hAnsi="Helvetica"/>
          <w:color w:val="333333"/>
          <w:sz w:val="19"/>
          <w:szCs w:val="19"/>
        </w:rPr>
        <w:t>2.</w:t>
      </w:r>
      <w:r>
        <w:rPr>
          <w:rFonts w:ascii="Helvetica" w:hAnsi="Helvetica"/>
          <w:color w:val="333333"/>
          <w:sz w:val="19"/>
          <w:szCs w:val="19"/>
        </w:rPr>
        <w:t>政府性基金预算</w:t>
      </w:r>
      <w:r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color w:val="333333"/>
          <w:sz w:val="19"/>
          <w:szCs w:val="19"/>
        </w:rPr>
        <w:t>三公</w:t>
      </w:r>
      <w:r>
        <w:rPr>
          <w:rFonts w:ascii="Helvetica" w:hAnsi="Helvetica"/>
          <w:color w:val="333333"/>
          <w:sz w:val="19"/>
          <w:szCs w:val="19"/>
        </w:rPr>
        <w:t>”</w:t>
      </w:r>
      <w:r>
        <w:rPr>
          <w:rFonts w:ascii="Helvetica" w:hAnsi="Helvetica"/>
          <w:color w:val="333333"/>
          <w:sz w:val="19"/>
          <w:szCs w:val="19"/>
        </w:rPr>
        <w:t>经费支出预算表</w:t>
      </w:r>
    </w:p>
    <w:p w:rsidR="008D4947" w:rsidRPr="008E0056" w:rsidRDefault="008D4947"/>
    <w:sectPr w:rsidR="008D4947" w:rsidRPr="008E0056" w:rsidSect="008D4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056"/>
    <w:rsid w:val="008D4947"/>
    <w:rsid w:val="008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005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00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0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China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2009-02-23T15:49:00Z</dcterms:created>
  <dcterms:modified xsi:type="dcterms:W3CDTF">2009-02-23T15:50:00Z</dcterms:modified>
</cp:coreProperties>
</file>